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58" w:rsidRPr="00134158" w:rsidRDefault="00134158" w:rsidP="00134158">
      <w:pPr>
        <w:pStyle w:val="2"/>
        <w:shd w:val="clear" w:color="auto" w:fill="FFFFFF"/>
        <w:spacing w:before="0" w:line="300" w:lineRule="atLeast"/>
        <w:jc w:val="center"/>
        <w:rPr>
          <w:rFonts w:ascii="Times New Roman" w:eastAsia="Times New Roman" w:hAnsi="Times New Roman" w:cs="Times New Roman"/>
          <w:b/>
          <w:bCs/>
          <w:color w:val="333333"/>
          <w:sz w:val="24"/>
          <w:szCs w:val="24"/>
          <w:lang w:eastAsia="ru-RU"/>
        </w:rPr>
      </w:pPr>
      <w:r w:rsidRPr="0030563D">
        <w:rPr>
          <w:rFonts w:ascii="Times New Roman" w:eastAsia="Times New Roman" w:hAnsi="Times New Roman" w:cs="Times New Roman"/>
          <w:b/>
          <w:bCs/>
          <w:color w:val="333333"/>
          <w:sz w:val="24"/>
          <w:szCs w:val="24"/>
          <w:lang w:eastAsia="ru-RU"/>
        </w:rPr>
        <w:t xml:space="preserve">Перечень </w:t>
      </w:r>
    </w:p>
    <w:p w:rsidR="00134158" w:rsidRPr="00134158" w:rsidRDefault="00134158" w:rsidP="00425BE7">
      <w:pPr>
        <w:pStyle w:val="2"/>
        <w:shd w:val="clear" w:color="auto" w:fill="FFFFFF"/>
        <w:spacing w:before="0" w:after="255" w:line="300" w:lineRule="atLeast"/>
        <w:jc w:val="center"/>
        <w:rPr>
          <w:rFonts w:ascii="Times New Roman" w:hAnsi="Times New Roman" w:cs="Times New Roman"/>
          <w:color w:val="4D4D4D"/>
          <w:sz w:val="24"/>
          <w:szCs w:val="24"/>
        </w:rPr>
      </w:pPr>
      <w:r w:rsidRPr="0030563D">
        <w:rPr>
          <w:rFonts w:ascii="Times New Roman" w:eastAsia="Times New Roman" w:hAnsi="Times New Roman" w:cs="Times New Roman"/>
          <w:b/>
          <w:bCs/>
          <w:color w:val="333333"/>
          <w:sz w:val="24"/>
          <w:szCs w:val="24"/>
          <w:lang w:eastAsia="ru-RU"/>
        </w:rPr>
        <w:t>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p w:rsidR="00425BE7" w:rsidRPr="00134158" w:rsidRDefault="00134158" w:rsidP="00425BE7">
      <w:pPr>
        <w:pStyle w:val="2"/>
        <w:shd w:val="clear" w:color="auto" w:fill="FFFFFF"/>
        <w:spacing w:before="0" w:after="255" w:line="300" w:lineRule="atLeast"/>
        <w:jc w:val="center"/>
        <w:rPr>
          <w:rFonts w:ascii="Times New Roman" w:hAnsi="Times New Roman" w:cs="Times New Roman"/>
          <w:color w:val="4D4D4D"/>
          <w:sz w:val="24"/>
          <w:szCs w:val="24"/>
        </w:rPr>
      </w:pPr>
      <w:r>
        <w:rPr>
          <w:rFonts w:ascii="Times New Roman" w:hAnsi="Times New Roman" w:cs="Times New Roman"/>
          <w:color w:val="4D4D4D"/>
          <w:sz w:val="24"/>
          <w:szCs w:val="24"/>
        </w:rPr>
        <w:t xml:space="preserve">Перечень составлен в соответствии с </w:t>
      </w:r>
      <w:r w:rsidR="00425BE7" w:rsidRPr="00134158">
        <w:rPr>
          <w:rFonts w:ascii="Times New Roman" w:hAnsi="Times New Roman" w:cs="Times New Roman"/>
          <w:color w:val="4D4D4D"/>
          <w:sz w:val="24"/>
          <w:szCs w:val="24"/>
        </w:rPr>
        <w:t>Методически</w:t>
      </w:r>
      <w:r>
        <w:rPr>
          <w:rFonts w:ascii="Times New Roman" w:hAnsi="Times New Roman" w:cs="Times New Roman"/>
          <w:color w:val="4D4D4D"/>
          <w:sz w:val="24"/>
          <w:szCs w:val="24"/>
        </w:rPr>
        <w:t>ми рекомендациями</w:t>
      </w:r>
      <w:r w:rsidR="00425BE7" w:rsidRPr="00134158">
        <w:rPr>
          <w:rFonts w:ascii="Times New Roman" w:hAnsi="Times New Roman" w:cs="Times New Roman"/>
          <w:color w:val="4D4D4D"/>
          <w:sz w:val="24"/>
          <w:szCs w:val="24"/>
        </w:rP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
    <w:p w:rsidR="0030563D" w:rsidRPr="0030563D" w:rsidRDefault="0030563D" w:rsidP="0030563D">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
        <w:gridCol w:w="4426"/>
        <w:gridCol w:w="4533"/>
      </w:tblGrid>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b/>
                <w:bCs/>
                <w:color w:val="333333"/>
                <w:sz w:val="24"/>
                <w:szCs w:val="24"/>
                <w:lang w:eastAsia="ru-RU"/>
              </w:rPr>
            </w:pPr>
            <w:r w:rsidRPr="0030563D">
              <w:rPr>
                <w:rFonts w:ascii="Times New Roman" w:eastAsia="Times New Roman" w:hAnsi="Times New Roman" w:cs="Times New Roman"/>
                <w:b/>
                <w:bCs/>
                <w:color w:val="333333"/>
                <w:sz w:val="24"/>
                <w:szCs w:val="24"/>
                <w:lang w:eastAsia="ru-RU"/>
              </w:rPr>
              <w:t>№ п\п</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b/>
                <w:bCs/>
                <w:color w:val="333333"/>
                <w:sz w:val="24"/>
                <w:szCs w:val="24"/>
                <w:lang w:eastAsia="ru-RU"/>
              </w:rPr>
            </w:pPr>
            <w:r w:rsidRPr="0030563D">
              <w:rPr>
                <w:rFonts w:ascii="Times New Roman" w:eastAsia="Times New Roman" w:hAnsi="Times New Roman" w:cs="Times New Roman"/>
                <w:b/>
                <w:bCs/>
                <w:color w:val="333333"/>
                <w:sz w:val="24"/>
                <w:szCs w:val="24"/>
                <w:lang w:eastAsia="ru-RU"/>
              </w:rPr>
              <w:t>Виды информации</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b/>
                <w:bCs/>
                <w:color w:val="333333"/>
                <w:sz w:val="24"/>
                <w:szCs w:val="24"/>
                <w:lang w:eastAsia="ru-RU"/>
              </w:rPr>
            </w:pPr>
            <w:r w:rsidRPr="0030563D">
              <w:rPr>
                <w:rFonts w:ascii="Times New Roman" w:eastAsia="Times New Roman" w:hAnsi="Times New Roman" w:cs="Times New Roman"/>
                <w:b/>
                <w:bCs/>
                <w:color w:val="333333"/>
                <w:sz w:val="24"/>
                <w:szCs w:val="24"/>
                <w:lang w:eastAsia="ru-RU"/>
              </w:rPr>
              <w:t>Описание видов информации</w:t>
            </w:r>
          </w:p>
        </w:tc>
      </w:tr>
      <w:tr w:rsidR="0030563D" w:rsidRPr="0030563D" w:rsidTr="0030563D">
        <w:tc>
          <w:tcPr>
            <w:tcW w:w="0" w:type="auto"/>
            <w:gridSpan w:val="3"/>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Информация, запрещенная для распространения среди детей, согласно части 2 статьи 5 Федерального закона N 436-ФЗ</w:t>
            </w:r>
            <w:hyperlink r:id="rId4" w:anchor="10011" w:history="1">
              <w:r w:rsidRPr="00134158">
                <w:rPr>
                  <w:rFonts w:ascii="Times New Roman" w:eastAsia="Times New Roman" w:hAnsi="Times New Roman" w:cs="Times New Roman"/>
                  <w:color w:val="808080"/>
                  <w:sz w:val="24"/>
                  <w:szCs w:val="24"/>
                  <w:u w:val="single"/>
                  <w:bdr w:val="none" w:sz="0" w:space="0" w:color="auto" w:frame="1"/>
                  <w:lang w:eastAsia="ru-RU"/>
                </w:rPr>
                <w:t>*</w:t>
              </w:r>
            </w:hyperlink>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2.</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3.</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 xml:space="preserve">Обосновывающая или оправдывающая допустимость насилия и (или) жестокости либо побуждающая осуществлять </w:t>
            </w:r>
            <w:r w:rsidRPr="0030563D">
              <w:rPr>
                <w:rFonts w:ascii="Times New Roman" w:eastAsia="Times New Roman" w:hAnsi="Times New Roman" w:cs="Times New Roman"/>
                <w:color w:val="333333"/>
                <w:sz w:val="24"/>
                <w:szCs w:val="24"/>
                <w:lang w:eastAsia="ru-RU"/>
              </w:rPr>
              <w:lastRenderedPageBreak/>
              <w:t>насильственные действия по отношению к людям или животным</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 xml:space="preserve">Информационная продукция (в том числе сайты, сетевые средства массовой информации, социальные сети, </w:t>
            </w:r>
            <w:r w:rsidRPr="0030563D">
              <w:rPr>
                <w:rFonts w:ascii="Times New Roman" w:eastAsia="Times New Roman" w:hAnsi="Times New Roman" w:cs="Times New Roman"/>
                <w:color w:val="333333"/>
                <w:sz w:val="24"/>
                <w:szCs w:val="24"/>
                <w:lang w:eastAsia="ru-RU"/>
              </w:rPr>
              <w:lastRenderedPageBreak/>
              <w:t>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4.</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5.</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Оправдывающая противоправное поведение</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6.</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Содержащая нецензурную брань</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7.</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Содержащая информацию порнографического характера</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8.</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 xml:space="preserve">О несовершеннолетнем, пострадавшем в результате противоправных действий (бездействия), включая фамилии, имена, </w:t>
            </w:r>
            <w:r w:rsidRPr="0030563D">
              <w:rPr>
                <w:rFonts w:ascii="Times New Roman" w:eastAsia="Times New Roman" w:hAnsi="Times New Roman" w:cs="Times New Roman"/>
                <w:color w:val="333333"/>
                <w:sz w:val="24"/>
                <w:szCs w:val="24"/>
                <w:lang w:eastAsia="ru-RU"/>
              </w:rPr>
              <w:lastRenderedPageBreak/>
              <w:t>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 xml:space="preserve">Информационная продукция (в том числе сайты, сетевые средства массовой информации, социальные сети, </w:t>
            </w:r>
            <w:r w:rsidRPr="0030563D">
              <w:rPr>
                <w:rFonts w:ascii="Times New Roman" w:eastAsia="Times New Roman" w:hAnsi="Times New Roman" w:cs="Times New Roman"/>
                <w:color w:val="333333"/>
                <w:sz w:val="24"/>
                <w:szCs w:val="24"/>
                <w:lang w:eastAsia="ru-RU"/>
              </w:rPr>
              <w:lastRenderedPageBreak/>
              <w:t>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30563D" w:rsidRPr="0030563D" w:rsidTr="0030563D">
        <w:tc>
          <w:tcPr>
            <w:tcW w:w="0" w:type="auto"/>
            <w:gridSpan w:val="3"/>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30563D" w:rsidRPr="0030563D" w:rsidTr="0030563D">
        <w:tc>
          <w:tcPr>
            <w:tcW w:w="0" w:type="auto"/>
            <w:gridSpan w:val="3"/>
            <w:shd w:val="clear" w:color="auto" w:fill="FFFFFF"/>
            <w:hideMark/>
          </w:tcPr>
          <w:p w:rsidR="0030563D" w:rsidRPr="0030563D" w:rsidRDefault="0030563D" w:rsidP="00134158">
            <w:pPr>
              <w:spacing w:after="0" w:line="240" w:lineRule="auto"/>
              <w:jc w:val="center"/>
              <w:rPr>
                <w:rFonts w:ascii="Times New Roman" w:eastAsia="Times New Roman" w:hAnsi="Times New Roman" w:cs="Times New Roman"/>
                <w:b/>
                <w:color w:val="333333"/>
                <w:sz w:val="24"/>
                <w:szCs w:val="24"/>
                <w:lang w:eastAsia="ru-RU"/>
              </w:rPr>
            </w:pPr>
            <w:r w:rsidRPr="0030563D">
              <w:rPr>
                <w:rFonts w:ascii="Times New Roman" w:eastAsia="Times New Roman" w:hAnsi="Times New Roman" w:cs="Times New Roman"/>
                <w:b/>
                <w:color w:val="333333"/>
                <w:sz w:val="24"/>
                <w:szCs w:val="24"/>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9.</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10.</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11.</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Представляемая в виде изображения или описания половых отношений между мужчиной и женщиной</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12.</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Содержащая бранные слова и выражения, относящиеся к нецензурной брани</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0563D" w:rsidRPr="0030563D" w:rsidTr="0030563D">
        <w:tc>
          <w:tcPr>
            <w:tcW w:w="0" w:type="auto"/>
            <w:gridSpan w:val="3"/>
            <w:shd w:val="clear" w:color="auto" w:fill="FFFFFF"/>
            <w:hideMark/>
          </w:tcPr>
          <w:p w:rsidR="0030563D" w:rsidRPr="0030563D" w:rsidRDefault="0030563D" w:rsidP="00134158">
            <w:pPr>
              <w:spacing w:after="0" w:line="240" w:lineRule="auto"/>
              <w:jc w:val="center"/>
              <w:rPr>
                <w:rFonts w:ascii="Times New Roman" w:eastAsia="Times New Roman" w:hAnsi="Times New Roman" w:cs="Times New Roman"/>
                <w:b/>
                <w:color w:val="333333"/>
                <w:sz w:val="24"/>
                <w:szCs w:val="24"/>
                <w:lang w:eastAsia="ru-RU"/>
              </w:rPr>
            </w:pPr>
            <w:r w:rsidRPr="0030563D">
              <w:rPr>
                <w:rFonts w:ascii="Times New Roman" w:eastAsia="Times New Roman" w:hAnsi="Times New Roman" w:cs="Times New Roman"/>
                <w:b/>
                <w:color w:val="333333"/>
                <w:sz w:val="24"/>
                <w:szCs w:val="24"/>
                <w:lang w:eastAsia="ru-RU"/>
              </w:rPr>
              <w:lastRenderedPageBreak/>
              <w:t>Информация, не соответствующая задачам образования</w:t>
            </w:r>
            <w:r w:rsidRPr="0030563D">
              <w:rPr>
                <w:rFonts w:ascii="Times New Roman" w:eastAsia="Times New Roman" w:hAnsi="Times New Roman" w:cs="Times New Roman"/>
                <w:b/>
                <w:color w:val="333333"/>
                <w:sz w:val="24"/>
                <w:szCs w:val="24"/>
                <w:vertAlign w:val="superscript"/>
                <w:lang w:eastAsia="ru-RU"/>
              </w:rPr>
              <w:t> </w:t>
            </w:r>
            <w:hyperlink r:id="rId5" w:anchor="11111" w:history="1">
              <w:r w:rsidRPr="00134158">
                <w:rPr>
                  <w:rFonts w:ascii="Times New Roman" w:eastAsia="Times New Roman" w:hAnsi="Times New Roman" w:cs="Times New Roman"/>
                  <w:b/>
                  <w:color w:val="808080"/>
                  <w:sz w:val="24"/>
                  <w:szCs w:val="24"/>
                  <w:u w:val="single"/>
                  <w:bdr w:val="none" w:sz="0" w:space="0" w:color="auto" w:frame="1"/>
                  <w:vertAlign w:val="superscript"/>
                  <w:lang w:eastAsia="ru-RU"/>
                </w:rPr>
                <w:t>1</w:t>
              </w:r>
            </w:hyperlink>
            <w:r w:rsidRPr="0030563D">
              <w:rPr>
                <w:rFonts w:ascii="Times New Roman" w:eastAsia="Times New Roman" w:hAnsi="Times New Roman" w:cs="Times New Roman"/>
                <w:b/>
                <w:color w:val="333333"/>
                <w:sz w:val="24"/>
                <w:szCs w:val="24"/>
                <w:vertAlign w:val="superscript"/>
                <w:lang w:eastAsia="ru-RU"/>
              </w:rPr>
              <w:t>,</w:t>
            </w:r>
            <w:hyperlink r:id="rId6" w:anchor="12222" w:history="1">
              <w:r w:rsidRPr="00134158">
                <w:rPr>
                  <w:rFonts w:ascii="Times New Roman" w:eastAsia="Times New Roman" w:hAnsi="Times New Roman" w:cs="Times New Roman"/>
                  <w:b/>
                  <w:color w:val="808080"/>
                  <w:sz w:val="24"/>
                  <w:szCs w:val="24"/>
                  <w:u w:val="single"/>
                  <w:bdr w:val="none" w:sz="0" w:space="0" w:color="auto" w:frame="1"/>
                  <w:vertAlign w:val="superscript"/>
                  <w:lang w:eastAsia="ru-RU"/>
                </w:rPr>
                <w:t>2</w:t>
              </w:r>
            </w:hyperlink>
            <w:r w:rsidRPr="0030563D">
              <w:rPr>
                <w:rFonts w:ascii="Times New Roman" w:eastAsia="Times New Roman" w:hAnsi="Times New Roman" w:cs="Times New Roman"/>
                <w:b/>
                <w:color w:val="333333"/>
                <w:sz w:val="24"/>
                <w:szCs w:val="24"/>
                <w:vertAlign w:val="superscript"/>
                <w:lang w:eastAsia="ru-RU"/>
              </w:rPr>
              <w:t>,</w:t>
            </w:r>
            <w:hyperlink r:id="rId7" w:anchor="13333" w:history="1">
              <w:r w:rsidRPr="00134158">
                <w:rPr>
                  <w:rFonts w:ascii="Times New Roman" w:eastAsia="Times New Roman" w:hAnsi="Times New Roman" w:cs="Times New Roman"/>
                  <w:b/>
                  <w:color w:val="808080"/>
                  <w:sz w:val="24"/>
                  <w:szCs w:val="24"/>
                  <w:u w:val="single"/>
                  <w:bdr w:val="none" w:sz="0" w:space="0" w:color="auto" w:frame="1"/>
                  <w:vertAlign w:val="superscript"/>
                  <w:lang w:eastAsia="ru-RU"/>
                </w:rPr>
                <w:t>3</w:t>
              </w:r>
            </w:hyperlink>
            <w:r w:rsidRPr="0030563D">
              <w:rPr>
                <w:rFonts w:ascii="Times New Roman" w:eastAsia="Times New Roman" w:hAnsi="Times New Roman" w:cs="Times New Roman"/>
                <w:b/>
                <w:color w:val="333333"/>
                <w:sz w:val="24"/>
                <w:szCs w:val="24"/>
                <w:lang w:eastAsia="ru-RU"/>
              </w:rPr>
              <w:t> (не имеет нормативного закрепления и используется для целей настоящих Методических рекомендаций)</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13.</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Компьютерные и сетевые игры, за исключением соответствующих задачам образования</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30563D">
              <w:rPr>
                <w:rFonts w:ascii="Times New Roman" w:eastAsia="Times New Roman" w:hAnsi="Times New Roman" w:cs="Times New Roman"/>
                <w:color w:val="333333"/>
                <w:sz w:val="24"/>
                <w:szCs w:val="24"/>
                <w:lang w:eastAsia="ru-RU"/>
              </w:rPr>
              <w:t>браузерных</w:t>
            </w:r>
            <w:proofErr w:type="spellEnd"/>
            <w:r w:rsidRPr="0030563D">
              <w:rPr>
                <w:rFonts w:ascii="Times New Roman" w:eastAsia="Times New Roman" w:hAnsi="Times New Roman" w:cs="Times New Roman"/>
                <w:color w:val="333333"/>
                <w:sz w:val="24"/>
                <w:szCs w:val="24"/>
                <w:lang w:eastAsia="ru-RU"/>
              </w:rPr>
              <w:t xml:space="preserve"> игр, массовые многопользовательские игры и другие игры, игровой процесс которых осуществляется через сеть "Интернет"</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14.</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30563D">
              <w:rPr>
                <w:rFonts w:ascii="Times New Roman" w:eastAsia="Times New Roman" w:hAnsi="Times New Roman" w:cs="Times New Roman"/>
                <w:color w:val="333333"/>
                <w:sz w:val="24"/>
                <w:szCs w:val="24"/>
                <w:lang w:eastAsia="ru-RU"/>
              </w:rPr>
              <w:t>анонимизацию</w:t>
            </w:r>
            <w:proofErr w:type="spellEnd"/>
            <w:r w:rsidRPr="0030563D">
              <w:rPr>
                <w:rFonts w:ascii="Times New Roman" w:eastAsia="Times New Roman" w:hAnsi="Times New Roman" w:cs="Times New Roman"/>
                <w:color w:val="333333"/>
                <w:sz w:val="24"/>
                <w:szCs w:val="24"/>
                <w:lang w:eastAsia="ru-RU"/>
              </w:rPr>
              <w:t xml:space="preserve"> сетевого трафика в сети "Интернет", такие как анонимные форумы, чаты, доски объявлений и гостевые книги, </w:t>
            </w:r>
            <w:proofErr w:type="spellStart"/>
            <w:r w:rsidRPr="0030563D">
              <w:rPr>
                <w:rFonts w:ascii="Times New Roman" w:eastAsia="Times New Roman" w:hAnsi="Times New Roman" w:cs="Times New Roman"/>
                <w:color w:val="333333"/>
                <w:sz w:val="24"/>
                <w:szCs w:val="24"/>
                <w:lang w:eastAsia="ru-RU"/>
              </w:rPr>
              <w:t>анонимайзеры</w:t>
            </w:r>
            <w:proofErr w:type="spellEnd"/>
            <w:r w:rsidRPr="0030563D">
              <w:rPr>
                <w:rFonts w:ascii="Times New Roman" w:eastAsia="Times New Roman" w:hAnsi="Times New Roman" w:cs="Times New Roman"/>
                <w:color w:val="333333"/>
                <w:sz w:val="24"/>
                <w:szCs w:val="24"/>
                <w:lang w:eastAsia="ru-RU"/>
              </w:rPr>
              <w:t xml:space="preserve"> и другие программы и сервисы</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15.</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30563D">
              <w:rPr>
                <w:rFonts w:ascii="Times New Roman" w:eastAsia="Times New Roman" w:hAnsi="Times New Roman" w:cs="Times New Roman"/>
                <w:color w:val="333333"/>
                <w:sz w:val="24"/>
                <w:szCs w:val="24"/>
                <w:lang w:eastAsia="ru-RU"/>
              </w:rPr>
              <w:t>решебников</w:t>
            </w:r>
            <w:proofErr w:type="spellEnd"/>
            <w:r w:rsidRPr="0030563D">
              <w:rPr>
                <w:rFonts w:ascii="Times New Roman" w:eastAsia="Times New Roman" w:hAnsi="Times New Roman" w:cs="Times New Roman"/>
                <w:color w:val="333333"/>
                <w:sz w:val="24"/>
                <w:szCs w:val="24"/>
                <w:lang w:eastAsia="ru-RU"/>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16.</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Онлайн-казино и тотализаторы</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w:t>
            </w:r>
            <w:r w:rsidRPr="0030563D">
              <w:rPr>
                <w:rFonts w:ascii="Times New Roman" w:eastAsia="Times New Roman" w:hAnsi="Times New Roman" w:cs="Times New Roman"/>
                <w:color w:val="333333"/>
                <w:sz w:val="24"/>
                <w:szCs w:val="24"/>
                <w:lang w:eastAsia="ru-RU"/>
              </w:rPr>
              <w:lastRenderedPageBreak/>
              <w:t>также способах и методах получения к ним доступа в сети "Интернет"</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17.</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Мошеннические сайты</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Сайты, навязывающие услуги на базе СМС-платежей, сайты, обманным путем собирающие личную информацию (</w:t>
            </w:r>
            <w:proofErr w:type="spellStart"/>
            <w:r w:rsidRPr="0030563D">
              <w:rPr>
                <w:rFonts w:ascii="Times New Roman" w:eastAsia="Times New Roman" w:hAnsi="Times New Roman" w:cs="Times New Roman"/>
                <w:color w:val="333333"/>
                <w:sz w:val="24"/>
                <w:szCs w:val="24"/>
                <w:lang w:eastAsia="ru-RU"/>
              </w:rPr>
              <w:t>фишинг</w:t>
            </w:r>
            <w:proofErr w:type="spellEnd"/>
            <w:r w:rsidRPr="0030563D">
              <w:rPr>
                <w:rFonts w:ascii="Times New Roman" w:eastAsia="Times New Roman" w:hAnsi="Times New Roman" w:cs="Times New Roman"/>
                <w:color w:val="333333"/>
                <w:sz w:val="24"/>
                <w:szCs w:val="24"/>
                <w:lang w:eastAsia="ru-RU"/>
              </w:rPr>
              <w:t>)</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18.</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Магия, колдовство, чародейство, ясновидящие, приворот по фото, теургия, волшебство, некромантия и секты</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19.</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Ресурсы, содержащие рекламу и направленные на продажу товаров и/или услуг детям</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20.</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Службы знакомств, социальные сети, мессенджеры и сайты и сервисы для организации сетевого общения</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21.</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Интернет-ресурсы, нарушающие исключительные права обладания (авторские права)</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22.</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Пропаганда национализма, фашизма и межнациональной розни</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 xml:space="preserve">Информационная продукция (в том числе сайты, сетевые средства массовой </w:t>
            </w:r>
            <w:r w:rsidRPr="0030563D">
              <w:rPr>
                <w:rFonts w:ascii="Times New Roman" w:eastAsia="Times New Roman" w:hAnsi="Times New Roman" w:cs="Times New Roman"/>
                <w:color w:val="333333"/>
                <w:sz w:val="24"/>
                <w:szCs w:val="24"/>
                <w:lang w:eastAsia="ru-RU"/>
              </w:rPr>
              <w:lastRenderedPageBreak/>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23.</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0563D" w:rsidRPr="0030563D" w:rsidTr="0030563D">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24.</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shd w:val="clear" w:color="auto" w:fill="FFFFFF"/>
            <w:hideMark/>
          </w:tcPr>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30563D" w:rsidRPr="0030563D" w:rsidTr="0030563D">
        <w:tc>
          <w:tcPr>
            <w:tcW w:w="0" w:type="auto"/>
            <w:gridSpan w:val="3"/>
            <w:shd w:val="clear" w:color="auto" w:fill="FFFFFF"/>
            <w:hideMark/>
          </w:tcPr>
          <w:p w:rsidR="00134158"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vertAlign w:val="superscript"/>
                <w:lang w:eastAsia="ru-RU"/>
              </w:rPr>
              <w:t>1</w:t>
            </w:r>
            <w:r w:rsidRPr="0030563D">
              <w:rPr>
                <w:rFonts w:ascii="Times New Roman" w:eastAsia="Times New Roman" w:hAnsi="Times New Roman" w:cs="Times New Roman"/>
                <w:color w:val="333333"/>
                <w:sz w:val="24"/>
                <w:szCs w:val="24"/>
                <w:lang w:eastAsia="ru-RU"/>
              </w:rPr>
              <w:t>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p>
          <w:p w:rsidR="00134158"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vertAlign w:val="superscript"/>
                <w:lang w:eastAsia="ru-RU"/>
              </w:rPr>
              <w:t>2</w:t>
            </w:r>
            <w:r w:rsidRPr="0030563D">
              <w:rPr>
                <w:rFonts w:ascii="Times New Roman" w:eastAsia="Times New Roman" w:hAnsi="Times New Roman" w:cs="Times New Roman"/>
                <w:color w:val="333333"/>
                <w:sz w:val="24"/>
                <w:szCs w:val="24"/>
                <w:lang w:eastAsia="ru-RU"/>
              </w:rPr>
              <w:t>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p>
          <w:p w:rsidR="0030563D" w:rsidRPr="0030563D" w:rsidRDefault="0030563D" w:rsidP="0030563D">
            <w:pPr>
              <w:spacing w:after="0" w:line="240" w:lineRule="auto"/>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vertAlign w:val="superscript"/>
                <w:lang w:eastAsia="ru-RU"/>
              </w:rPr>
              <w:t>3</w:t>
            </w:r>
            <w:r w:rsidRPr="0030563D">
              <w:rPr>
                <w:rFonts w:ascii="Times New Roman" w:eastAsia="Times New Roman" w:hAnsi="Times New Roman" w:cs="Times New Roman"/>
                <w:color w:val="333333"/>
                <w:sz w:val="24"/>
                <w:szCs w:val="24"/>
                <w:lang w:eastAsia="ru-RU"/>
              </w:rPr>
              <w:t> - не имеет нормативного закрепления и используется для целей настоящих Методических рекомендаций.</w:t>
            </w:r>
          </w:p>
        </w:tc>
      </w:tr>
    </w:tbl>
    <w:p w:rsidR="00134158" w:rsidRDefault="00134158" w:rsidP="0030563D">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p>
    <w:p w:rsidR="0030563D" w:rsidRPr="0030563D" w:rsidRDefault="0030563D" w:rsidP="00134158">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30563D">
        <w:rPr>
          <w:rFonts w:ascii="Times New Roman" w:eastAsia="Times New Roman" w:hAnsi="Times New Roman" w:cs="Times New Roman"/>
          <w:b/>
          <w:bCs/>
          <w:color w:val="333333"/>
          <w:sz w:val="24"/>
          <w:szCs w:val="24"/>
          <w:lang w:eastAsia="ru-RU"/>
        </w:rPr>
        <w:t>Перечень видов информации, к которым может быть предоставлен доступ согласно определенной возрастной категории</w:t>
      </w:r>
    </w:p>
    <w:p w:rsidR="0030563D" w:rsidRPr="0030563D" w:rsidRDefault="0030563D" w:rsidP="00134158">
      <w:pPr>
        <w:shd w:val="clear" w:color="auto" w:fill="FFFFFF"/>
        <w:spacing w:after="0" w:line="270" w:lineRule="atLeast"/>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Информационная продукция для детей, не достигших возраста шести лет, согласно статье 7 Федерального закона N 436-ФЗ:</w:t>
      </w:r>
    </w:p>
    <w:p w:rsidR="0030563D" w:rsidRPr="0030563D" w:rsidRDefault="0030563D" w:rsidP="0030563D">
      <w:pPr>
        <w:shd w:val="clear" w:color="auto" w:fill="FFFFFF"/>
        <w:spacing w:after="255" w:line="270" w:lineRule="atLeast"/>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Информационная продукция для детей, достигших возраста шести лет, согласно статье 8 Федерального закона N 436-ФЗ:</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lastRenderedPageBreak/>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w:t>
      </w:r>
      <w:bookmarkStart w:id="0" w:name="_GoBack"/>
      <w:bookmarkEnd w:id="0"/>
      <w:r w:rsidRPr="0030563D">
        <w:rPr>
          <w:rFonts w:ascii="Times New Roman" w:eastAsia="Times New Roman" w:hAnsi="Times New Roman" w:cs="Times New Roman"/>
          <w:color w:val="333333"/>
          <w:sz w:val="24"/>
          <w:szCs w:val="24"/>
          <w:lang w:eastAsia="ru-RU"/>
        </w:rPr>
        <w:t>есов общества или государства);</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отдельные бранные слова и (или) выражения, не относящиеся к нецензурной брани;</w:t>
      </w:r>
    </w:p>
    <w:p w:rsidR="0030563D" w:rsidRPr="0030563D" w:rsidRDefault="0030563D" w:rsidP="00134158">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0563D">
        <w:rPr>
          <w:rFonts w:ascii="Times New Roman" w:eastAsia="Times New Roman" w:hAnsi="Times New Roman" w:cs="Times New Roman"/>
          <w:color w:val="333333"/>
          <w:sz w:val="24"/>
          <w:szCs w:val="24"/>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2C1BE0" w:rsidRPr="00134158" w:rsidRDefault="00134158">
      <w:pPr>
        <w:rPr>
          <w:rFonts w:ascii="Times New Roman" w:hAnsi="Times New Roman" w:cs="Times New Roman"/>
          <w:sz w:val="24"/>
          <w:szCs w:val="24"/>
        </w:rPr>
      </w:pPr>
    </w:p>
    <w:sectPr w:rsidR="002C1BE0" w:rsidRPr="00134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F6"/>
    <w:rsid w:val="00134158"/>
    <w:rsid w:val="001918F6"/>
    <w:rsid w:val="0030563D"/>
    <w:rsid w:val="00425BE7"/>
    <w:rsid w:val="00634127"/>
    <w:rsid w:val="0090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6AB26-D7A6-4786-BA3F-DD3D72F2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25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056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563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0563D"/>
    <w:rPr>
      <w:color w:val="0000FF"/>
      <w:u w:val="single"/>
    </w:rPr>
  </w:style>
  <w:style w:type="paragraph" w:styleId="a4">
    <w:name w:val="Normal (Web)"/>
    <w:basedOn w:val="a"/>
    <w:uiPriority w:val="99"/>
    <w:semiHidden/>
    <w:unhideWhenUsed/>
    <w:rsid w:val="00305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25B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7498">
      <w:bodyDiv w:val="1"/>
      <w:marLeft w:val="0"/>
      <w:marRight w:val="0"/>
      <w:marTop w:val="0"/>
      <w:marBottom w:val="0"/>
      <w:divBdr>
        <w:top w:val="none" w:sz="0" w:space="0" w:color="auto"/>
        <w:left w:val="none" w:sz="0" w:space="0" w:color="auto"/>
        <w:bottom w:val="none" w:sz="0" w:space="0" w:color="auto"/>
        <w:right w:val="none" w:sz="0" w:space="0" w:color="auto"/>
      </w:divBdr>
    </w:div>
    <w:div w:id="1946420064">
      <w:bodyDiv w:val="1"/>
      <w:marLeft w:val="0"/>
      <w:marRight w:val="0"/>
      <w:marTop w:val="0"/>
      <w:marBottom w:val="0"/>
      <w:divBdr>
        <w:top w:val="none" w:sz="0" w:space="0" w:color="auto"/>
        <w:left w:val="none" w:sz="0" w:space="0" w:color="auto"/>
        <w:bottom w:val="none" w:sz="0" w:space="0" w:color="auto"/>
        <w:right w:val="none" w:sz="0" w:space="0" w:color="auto"/>
      </w:divBdr>
    </w:div>
    <w:div w:id="21113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21458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145832/" TargetMode="External"/><Relationship Id="rId5" Type="http://schemas.openxmlformats.org/officeDocument/2006/relationships/hyperlink" Target="https://www.garant.ru/products/ipo/prime/doc/72145832/" TargetMode="External"/><Relationship Id="rId4" Type="http://schemas.openxmlformats.org/officeDocument/2006/relationships/hyperlink" Target="https://www.garant.ru/products/ipo/prime/doc/7214583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одм</dc:creator>
  <cp:keywords/>
  <dc:description/>
  <cp:lastModifiedBy>одм</cp:lastModifiedBy>
  <cp:revision>2</cp:revision>
  <dcterms:created xsi:type="dcterms:W3CDTF">2019-10-15T03:28:00Z</dcterms:created>
  <dcterms:modified xsi:type="dcterms:W3CDTF">2019-10-15T06:40:00Z</dcterms:modified>
</cp:coreProperties>
</file>